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72" w:rsidRPr="00D347E0" w:rsidRDefault="00680472" w:rsidP="00680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ПОСТАВКИ </w:t>
      </w:r>
      <w:r w:rsidRPr="00D3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 № ________</w:t>
      </w:r>
    </w:p>
    <w:p w:rsidR="00680472" w:rsidRDefault="00680472" w:rsidP="00680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14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ГУП «Водоснабжение и водоотведение»,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енерального директора В.П. </w:t>
      </w:r>
      <w:proofErr w:type="spellStart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hAnsi="Times New Roman" w:cs="Times New Roman"/>
          <w:bCs/>
          <w:sz w:val="24"/>
          <w:szCs w:val="24"/>
        </w:rPr>
        <w:t>бумагу офсетную</w:t>
      </w:r>
      <w:r w:rsidRPr="00C01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ассортименте, количестве, по ценам, на условиях настоящего Контракта</w:t>
      </w:r>
      <w:r w:rsidRPr="00514E2C">
        <w:rPr>
          <w:rFonts w:ascii="Times New Roman" w:hAnsi="Times New Roman" w:cs="Times New Roman"/>
          <w:sz w:val="24"/>
          <w:szCs w:val="24"/>
        </w:rPr>
        <w:t xml:space="preserve">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далее – Товар, а Покупатель обязуется принять Товар и оплатить его в порядке, на условиях и в сроки, предусмотренные настоящим Контрактом.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Право собственности на Товар переходит от Поставщика к Покупателю в момент поставки.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1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51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Контракта составляет ____ (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закупок.</w:t>
      </w:r>
    </w:p>
    <w:p w:rsidR="00680472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</w:t>
      </w:r>
      <w:r w:rsidRPr="009F0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за каждую партию производится 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(ТТН) и счете к оплате). 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осуществления платежей по настоящему Контракту является дата зачисления денежных средств на расчетный счёт Поставщика.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680472" w:rsidRPr="00514E2C" w:rsidRDefault="00680472" w:rsidP="00680472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:rsidR="00680472" w:rsidRPr="00514E2C" w:rsidRDefault="00680472" w:rsidP="00680472">
      <w:pPr>
        <w:tabs>
          <w:tab w:val="num" w:pos="1080"/>
          <w:tab w:val="num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A829BA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680472" w:rsidRPr="00DD278B" w:rsidRDefault="00680472" w:rsidP="00680472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оставка Товара осуществляется </w:t>
      </w:r>
      <w:r w:rsidRPr="008713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срока действия контракта</w:t>
      </w:r>
      <w:r w:rsidRPr="00DD27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передачи Покупателю Товара отдельными партиями по его заявке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согласованные сроки, но не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позднее 5 (пяти) рабочих дней с момента получения заявки Покупателя.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выборки товара устанавливается с момента вступления контракта в силу и по 31 декабря 2024 года.</w:t>
      </w:r>
    </w:p>
    <w:p w:rsidR="00680472" w:rsidRDefault="00680472" w:rsidP="00680472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D2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поставок отдельных партий Товара в течение общего срока выборки Товара определяется с учетом производственных потребностей Покупателя и наличия у Поставщика соответствующего Товара, согласовывается Сторонами посредством подачи письменной заявки.</w:t>
      </w:r>
    </w:p>
    <w:p w:rsidR="00680472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поставки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Товара является дата подписания уполномоченными представителями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9B0D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72" w:rsidRPr="00A829BA" w:rsidRDefault="00680472" w:rsidP="00680472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представителю Покупателя, при наличии у него надлежащим образом оформленной доверенности на получение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:rsidR="00680472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транспортом и за счёт средств Поставщика</w:t>
      </w:r>
      <w:r w:rsidRPr="00DB4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5EE4">
        <w:rPr>
          <w:rFonts w:ascii="Times New Roman" w:hAnsi="Times New Roman" w:cs="Times New Roman"/>
          <w:bCs/>
          <w:sz w:val="24"/>
          <w:szCs w:val="24"/>
        </w:rPr>
        <w:t>на центральный склад Покупателя, расположенный по адресу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9E5EE4">
        <w:rPr>
          <w:rFonts w:ascii="Times New Roman" w:hAnsi="Times New Roman" w:cs="Times New Roman"/>
          <w:bCs/>
          <w:sz w:val="24"/>
          <w:szCs w:val="24"/>
        </w:rPr>
        <w:t xml:space="preserve"> г. Тирасполь, ул. 95 Молдавской дивизии, 1-в</w:t>
      </w:r>
      <w:r w:rsidRPr="00A82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472" w:rsidRPr="00514E2C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51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дефекты. Рекламационный акт подписывается Поставщиком и Покупателем.</w:t>
      </w:r>
    </w:p>
    <w:p w:rsidR="00680472" w:rsidRPr="005F55F7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Поставщик обязуется за свой счет устранить выявленные недостатки, повреждения Товара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составления Рекламационного акта, путем замены некачественного Товара, его части, качественным либо возместить Покупателю стоимость некачественного Товара.</w:t>
      </w:r>
    </w:p>
    <w:p w:rsidR="00680472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обязан устранить их своими силами и за свой счет.  </w:t>
      </w:r>
      <w:r w:rsidRPr="0029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устранения неисправностей устанавливается по соглашению Сторон путем замены некачественного Товара качественным либо возврата Поставщиком Покупателю денежных средств в объеме стоимости некачественного Товара в согласованные сроки, но не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5F5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с момента обнаружения несоответствия.</w:t>
      </w:r>
    </w:p>
    <w:p w:rsidR="00680472" w:rsidRPr="001A0571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Допускается </w:t>
      </w:r>
      <w:proofErr w:type="spellStart"/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толеранс</w:t>
      </w:r>
      <w:proofErr w:type="spellEnd"/>
      <w:r w:rsidRPr="00DA1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общее количество Товара от согласованного количества и фактически поставленного Товара в пределах +/- 10%.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80472" w:rsidRPr="00514E2C" w:rsidRDefault="00680472" w:rsidP="0068047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993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514E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Поставщик обязан: 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В срок, установленный Контрактом передать по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Покупателю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партию)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количестве, ассортименте и по цене, согласно условиям Контракта.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Передать вместе с Товаром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партией)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нему документы (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сертификат соответствия (качества), паспорт качества и (или) иной документ о качестве и т.д.).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Передать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партию)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которого соответствует </w:t>
      </w:r>
      <w:r w:rsidRPr="00D06A48">
        <w:rPr>
          <w:rFonts w:ascii="Times New Roman" w:hAnsi="Times New Roman" w:cs="Times New Roman"/>
          <w:sz w:val="24"/>
          <w:szCs w:val="24"/>
        </w:rPr>
        <w:t>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количеству и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Нести риск случайного повреждения Товара (его партии) до момента его передачи Покупателю.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Выполнять иные обязанности, предусмотренные законодательством Приднестровской Молдавской Республики.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680472" w:rsidRPr="00514E2C" w:rsidRDefault="00680472" w:rsidP="0068047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 условиях, предусмотренных настоящим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80472" w:rsidRPr="00514E2C" w:rsidRDefault="00680472" w:rsidP="0068047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4.2.2. Требовать подписания Покупателем </w:t>
      </w:r>
      <w:r w:rsidRPr="00B41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приемо-сдаточной документации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 поставке Поставщиком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надлежащем количестве и ассортименте.</w:t>
      </w:r>
    </w:p>
    <w:p w:rsidR="00680472" w:rsidRPr="00514E2C" w:rsidRDefault="00680472" w:rsidP="00680472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Реализовывать иные права, предусмотренные законодательством Приднестровской Молдавской Республики.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партию)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на условиях, предусмотренных настоящим Контрактом. 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Совершить все действия, обеспечивающие принятие Товара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партии)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поставке Товара надлежащего качества в надлежащем количестве, ассортименте и по цене, согласно условиям Контракта.</w:t>
      </w:r>
    </w:p>
    <w:p w:rsidR="00680472" w:rsidRPr="00514E2C" w:rsidRDefault="00680472" w:rsidP="00680472">
      <w:pPr>
        <w:tabs>
          <w:tab w:val="left" w:pos="141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 Приднестровской Молдавской Республики.</w:t>
      </w:r>
    </w:p>
    <w:p w:rsidR="00680472" w:rsidRPr="00514E2C" w:rsidRDefault="00680472" w:rsidP="00680472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Покупатель имеет право: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от Поставщика</w:t>
      </w:r>
      <w:proofErr w:type="gramEnd"/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514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Требовать от Поставщика своевременного устранения выявленных недостатков Товара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партии)</w:t>
      </w:r>
      <w:r w:rsidRPr="00514E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NewRomanPSMT" w:hAnsi="Times New Roman" w:cs="Times New Roman"/>
          <w:sz w:val="24"/>
          <w:szCs w:val="24"/>
          <w:lang w:eastAsia="ru-RU"/>
        </w:rPr>
        <w:t>4.4.4. Реализовывать иные права, предусмотренные законодательством Приднестровской Молдавской Республики.</w:t>
      </w:r>
    </w:p>
    <w:p w:rsidR="00680472" w:rsidRPr="00514E2C" w:rsidRDefault="00680472" w:rsidP="00680472">
      <w:pPr>
        <w:spacing w:after="0" w:line="240" w:lineRule="atLeast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680472" w:rsidRPr="00D043A5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5.1.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:rsidR="00680472" w:rsidRPr="00D043A5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5.2.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680472" w:rsidRPr="00445F7A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неисполнения или ненадлежащего исполнения П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оставщиком</w:t>
      </w:r>
      <w:r w:rsidRPr="00D043A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680472" w:rsidRPr="00445F7A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5.5. </w:t>
      </w:r>
      <w:r w:rsidRPr="00445F7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:rsidR="00680472" w:rsidRDefault="00680472" w:rsidP="00680472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6.2. 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>Качество Товара должны соответствовать назначению Товара, требованиям, предъявленным к техническим характеристикам Товара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8E9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в Приднестровской Молдавской Республики стандартам и техническим условиям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всем остальном, что не установлено настоящим Контрактом при обнаружении недостатков Товара, несоответствия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Товара 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установленным требов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аниям, Стороны руководствуются</w:t>
      </w:r>
      <w:r w:rsidRPr="00444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законодательством Приднестровской Молдавской Республики.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Арбитражном суде Приднестровской Молдавской Республики.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680472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514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680472" w:rsidRPr="00514E2C" w:rsidRDefault="00680472" w:rsidP="00680472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10.3. Изменение условий настоящего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680472" w:rsidRPr="00514E2C" w:rsidRDefault="00680472" w:rsidP="00680472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680472" w:rsidRPr="00514E2C" w:rsidRDefault="00680472" w:rsidP="00680472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472" w:rsidRPr="00514E2C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АДРЕСА, БАНКОВСКИЕ РЕКВИЗИТЫ И ПОДПИСИ СТОРОН</w:t>
      </w:r>
    </w:p>
    <w:p w:rsidR="00680472" w:rsidRPr="00514E2C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680472" w:rsidRPr="00514E2C" w:rsidTr="00E64A77">
        <w:trPr>
          <w:trHeight w:val="400"/>
        </w:trPr>
        <w:tc>
          <w:tcPr>
            <w:tcW w:w="4332" w:type="dxa"/>
          </w:tcPr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8" w:type="dxa"/>
          </w:tcPr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0472" w:rsidRPr="00514E2C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Контракту поставки товара </w:t>
      </w: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</w:p>
    <w:p w:rsidR="00680472" w:rsidRPr="00514E2C" w:rsidRDefault="00680472" w:rsidP="0068047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680472" w:rsidRPr="00514E2C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472" w:rsidRDefault="00680472" w:rsidP="0068047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514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0472" w:rsidRDefault="00680472" w:rsidP="006804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0"/>
        <w:gridCol w:w="855"/>
        <w:gridCol w:w="977"/>
        <w:gridCol w:w="1704"/>
        <w:gridCol w:w="1843"/>
      </w:tblGrid>
      <w:tr w:rsidR="00680472" w:rsidRPr="00B35632" w:rsidTr="00E64A77">
        <w:trPr>
          <w:trHeight w:val="10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 лота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 основные характеристики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047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единицу товара в руб. ПМР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</w:t>
            </w: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руб. ПМР</w:t>
            </w:r>
          </w:p>
        </w:tc>
      </w:tr>
      <w:tr w:rsidR="00680472" w:rsidRPr="00B35632" w:rsidTr="00E64A77">
        <w:trPr>
          <w:trHeight w:val="3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5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Бумага офсетная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0472" w:rsidRPr="00B35632" w:rsidRDefault="00680472" w:rsidP="00E64A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0472" w:rsidRPr="00ED6D7D" w:rsidTr="00E64A77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680472" w:rsidRPr="00B35632" w:rsidRDefault="00680472" w:rsidP="00E64A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 офсетная</w:t>
            </w:r>
            <w:proofErr w:type="gramEnd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А-3 500л. 80г/м² ГОСТ Р 57641-2017 (белая)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72" w:rsidRPr="00ED6D7D" w:rsidTr="00E64A77">
        <w:trPr>
          <w:trHeight w:val="8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80472" w:rsidRPr="00B35632" w:rsidRDefault="00680472" w:rsidP="00E64A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 офсетная</w:t>
            </w:r>
            <w:proofErr w:type="gramEnd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А-4 500л. 80г/м² ГОСТ Р 57641-2017 (белая)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72" w:rsidRPr="00ED6D7D" w:rsidTr="00E64A77">
        <w:trPr>
          <w:trHeight w:val="112"/>
        </w:trPr>
        <w:tc>
          <w:tcPr>
            <w:tcW w:w="709" w:type="dxa"/>
            <w:tcBorders>
              <w:top w:val="single" w:sz="4" w:space="0" w:color="auto"/>
            </w:tcBorders>
          </w:tcPr>
          <w:p w:rsidR="00680472" w:rsidRPr="00B35632" w:rsidRDefault="00680472" w:rsidP="00E64A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 офсетная</w:t>
            </w:r>
            <w:proofErr w:type="gramEnd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А-5 400л. 80г/м² ГОСТ Р 57641-2017 (белая)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72" w:rsidRPr="00ED6D7D" w:rsidTr="00E64A77">
        <w:trPr>
          <w:trHeight w:val="112"/>
        </w:trPr>
        <w:tc>
          <w:tcPr>
            <w:tcW w:w="7645" w:type="dxa"/>
            <w:gridSpan w:val="5"/>
          </w:tcPr>
          <w:p w:rsidR="00680472" w:rsidRPr="006B506E" w:rsidRDefault="00680472" w:rsidP="00E64A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50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0472" w:rsidRPr="00ED6D7D" w:rsidRDefault="00680472" w:rsidP="00E64A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472" w:rsidRDefault="00680472" w:rsidP="00680472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472" w:rsidRDefault="00680472" w:rsidP="00680472">
      <w:pPr>
        <w:snapToGri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ИТОГО:  </w:t>
      </w:r>
      <w:r w:rsidRPr="000049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proofErr w:type="gramEnd"/>
      <w:r w:rsidRPr="000049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00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Приднестровской Молдавской Республики</w:t>
      </w:r>
    </w:p>
    <w:p w:rsidR="00680472" w:rsidRDefault="00680472" w:rsidP="00680472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472" w:rsidRPr="005F55F7" w:rsidRDefault="00680472" w:rsidP="00680472">
      <w:pPr>
        <w:spacing w:after="0" w:line="240" w:lineRule="atLeast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АДРЕСА, БАНКОВСКИЕ РЕКВИЗИТЫ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5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:rsidR="00680472" w:rsidRPr="004449C0" w:rsidRDefault="00680472" w:rsidP="006804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680472" w:rsidRPr="004449C0" w:rsidTr="00E64A77">
        <w:trPr>
          <w:trHeight w:val="400"/>
        </w:trPr>
        <w:tc>
          <w:tcPr>
            <w:tcW w:w="4332" w:type="dxa"/>
          </w:tcPr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Поставщик: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</w:tcPr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 П. </w:t>
            </w:r>
            <w:proofErr w:type="spellStart"/>
            <w:r w:rsidRPr="0044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680472" w:rsidRPr="004449C0" w:rsidRDefault="00680472" w:rsidP="00E64A77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472" w:rsidRDefault="00680472" w:rsidP="00680472"/>
    <w:p w:rsidR="00680472" w:rsidRDefault="00680472" w:rsidP="0068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472" w:rsidRDefault="00680472" w:rsidP="0068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472" w:rsidRDefault="00680472" w:rsidP="0068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472" w:rsidRDefault="00680472" w:rsidP="006804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472" w:rsidRDefault="00680472" w:rsidP="00680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C18" w:rsidRPr="00680472" w:rsidRDefault="00B30C18" w:rsidP="00680472"/>
    <w:sectPr w:rsidR="00B30C18" w:rsidRPr="0068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8F"/>
    <w:rsid w:val="0059038F"/>
    <w:rsid w:val="00680472"/>
    <w:rsid w:val="00954A6A"/>
    <w:rsid w:val="00B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3</cp:revision>
  <dcterms:created xsi:type="dcterms:W3CDTF">2023-05-10T12:12:00Z</dcterms:created>
  <dcterms:modified xsi:type="dcterms:W3CDTF">2024-02-07T08:39:00Z</dcterms:modified>
</cp:coreProperties>
</file>